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bCs/>
          <w:sz w:val="30"/>
          <w:szCs w:val="30"/>
          <w:lang w:eastAsia="zh-CN"/>
        </w:rPr>
        <w:t>第一临床学院</w:t>
      </w:r>
      <w:r>
        <w:rPr>
          <w:rFonts w:hint="eastAsia" w:ascii="仿宋" w:hAnsi="仿宋" w:eastAsia="仿宋"/>
          <w:b/>
          <w:sz w:val="32"/>
          <w:szCs w:val="32"/>
        </w:rPr>
        <w:t>“课程思政”课堂教学</w:t>
      </w:r>
      <w:r>
        <w:rPr>
          <w:rFonts w:hint="eastAsia"/>
          <w:b/>
          <w:sz w:val="28"/>
          <w:szCs w:val="28"/>
        </w:rPr>
        <w:t>竞赛评分表</w:t>
      </w:r>
    </w:p>
    <w:p>
      <w:pPr>
        <w:ind w:firstLine="281" w:firstLineChars="100"/>
        <w:jc w:val="left"/>
        <w:rPr>
          <w:rFonts w:hint="eastAsia" w:eastAsiaTheme="minorEastAsia"/>
          <w:b/>
          <w:sz w:val="28"/>
          <w:szCs w:val="28"/>
          <w:lang w:val="en-US" w:eastAsia="zh-CN"/>
        </w:rPr>
      </w:pPr>
      <w:bookmarkStart w:id="0" w:name="_GoBack"/>
      <w:r>
        <w:rPr>
          <w:rFonts w:hint="eastAsia"/>
          <w:b/>
          <w:sz w:val="28"/>
          <w:szCs w:val="28"/>
          <w:lang w:val="en-US" w:eastAsia="zh-CN"/>
        </w:rPr>
        <w:t>请评委分三个等级打分（优秀:85-94、较好75-84、一般65-74）</w:t>
      </w:r>
    </w:p>
    <w:bookmarkEnd w:id="0"/>
    <w:tbl>
      <w:tblPr>
        <w:tblStyle w:val="4"/>
        <w:tblW w:w="9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080"/>
        <w:gridCol w:w="5144"/>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评价</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评分内容</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设计</w:t>
            </w:r>
          </w:p>
        </w:tc>
        <w:tc>
          <w:tcPr>
            <w:tcW w:w="1080" w:type="dxa"/>
            <w:vMerge w:val="restart"/>
            <w:tcBorders>
              <w:top w:val="single" w:color="auto" w:sz="4" w:space="0"/>
              <w:left w:val="single" w:color="auto" w:sz="4" w:space="0"/>
              <w:right w:val="single" w:color="auto" w:sz="4" w:space="0"/>
            </w:tcBorders>
            <w:vAlign w:val="center"/>
          </w:tcPr>
          <w:p>
            <w:pPr>
              <w:snapToGrid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30</w:t>
            </w: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备课充分，精心设计教学各个环节，有结合“课程思政”的教学目标、教学内容和教学方法设计</w:t>
            </w:r>
            <w:r>
              <w:rPr>
                <w:rFonts w:hint="eastAsia" w:ascii="仿宋_GB2312" w:hAnsi="仿宋_GB2312" w:eastAsia="仿宋_GB2312" w:cs="仿宋_GB2312"/>
                <w:sz w:val="28"/>
                <w:szCs w:val="28"/>
                <w:lang w:eastAsia="zh-CN"/>
              </w:rPr>
              <w:t>。</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080" w:type="dxa"/>
            <w:vMerge w:val="continue"/>
            <w:tcBorders>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8"/>
                <w:szCs w:val="28"/>
                <w:lang w:eastAsia="zh-CN"/>
              </w:rPr>
            </w:pPr>
            <w:r>
              <w:rPr>
                <w:rFonts w:hint="eastAsia" w:eastAsia="仿宋_GB2312" w:cs="Calibri"/>
                <w:sz w:val="28"/>
                <w:szCs w:val="32"/>
              </w:rPr>
              <w:t>善于将思想政治教育和专业知识传授融合，把思政教育巧妙渗透教学全过程，润物无声。</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实施</w:t>
            </w:r>
          </w:p>
        </w:tc>
        <w:tc>
          <w:tcPr>
            <w:tcW w:w="1080" w:type="dxa"/>
            <w:vMerge w:val="restart"/>
            <w:tcBorders>
              <w:top w:val="single" w:color="auto" w:sz="4" w:space="0"/>
              <w:left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45</w:t>
            </w: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善于提炼专业课程蕴含的育人因素，教学内容呈现恰当，教学活动组织合理</w:t>
            </w:r>
            <w:r>
              <w:rPr>
                <w:rFonts w:hint="eastAsia" w:ascii="仿宋_GB2312" w:hAnsi="仿宋_GB2312" w:eastAsia="仿宋_GB2312" w:cs="仿宋_GB2312"/>
                <w:sz w:val="28"/>
                <w:szCs w:val="28"/>
                <w:lang w:eastAsia="zh-CN"/>
              </w:rPr>
              <w:t>。</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080" w:type="dxa"/>
            <w:vMerge w:val="continue"/>
            <w:tcBorders>
              <w:left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善于综合运用现代信息技术手段和数字资源把思政教育巧妙渗透教学全过程，教学方法运用恰当，教学策略使用有效</w:t>
            </w:r>
            <w:r>
              <w:rPr>
                <w:rFonts w:hint="eastAsia" w:ascii="仿宋_GB2312" w:hAnsi="仿宋_GB2312" w:eastAsia="仿宋_GB2312" w:cs="仿宋_GB2312"/>
                <w:sz w:val="28"/>
                <w:szCs w:val="28"/>
                <w:lang w:eastAsia="zh-CN"/>
              </w:rPr>
              <w:t>。</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080" w:type="dxa"/>
            <w:vMerge w:val="continue"/>
            <w:tcBorders>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注重教学互动，突出学生主体地位，调动学生参与课堂积极性。</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效果</w:t>
            </w:r>
          </w:p>
        </w:tc>
        <w:tc>
          <w:tcPr>
            <w:tcW w:w="1080" w:type="dxa"/>
            <w:vMerge w:val="restart"/>
            <w:tcBorders>
              <w:top w:val="single" w:color="auto" w:sz="4" w:space="0"/>
              <w:left w:val="single" w:color="auto" w:sz="4" w:space="0"/>
              <w:right w:val="single" w:color="auto" w:sz="4" w:space="0"/>
            </w:tcBorders>
            <w:vAlign w:val="center"/>
          </w:tcPr>
          <w:p>
            <w:pPr>
              <w:snapToGrid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val="en-US" w:eastAsia="zh-CN"/>
              </w:rPr>
              <w:t>5</w:t>
            </w: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注重思想理论教育和价值引领，有效达成教学目标，效果明显</w:t>
            </w:r>
            <w:r>
              <w:rPr>
                <w:rFonts w:hint="eastAsia" w:ascii="仿宋_GB2312" w:hAnsi="仿宋_GB2312" w:eastAsia="仿宋_GB2312" w:cs="仿宋_GB2312"/>
                <w:sz w:val="28"/>
                <w:szCs w:val="28"/>
                <w:lang w:eastAsia="zh-CN"/>
              </w:rPr>
              <w:t>。</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080" w:type="dxa"/>
            <w:vMerge w:val="continue"/>
            <w:tcBorders>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教学感染力强，课堂教学气氛好。</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教师素养与创新特色</w:t>
            </w:r>
          </w:p>
        </w:tc>
        <w:tc>
          <w:tcPr>
            <w:tcW w:w="1080" w:type="dxa"/>
            <w:vMerge w:val="restart"/>
            <w:tcBorders>
              <w:top w:val="single" w:color="auto" w:sz="4" w:space="0"/>
              <w:left w:val="single" w:color="auto" w:sz="4" w:space="0"/>
              <w:right w:val="single" w:color="auto" w:sz="4" w:space="0"/>
            </w:tcBorders>
            <w:vAlign w:val="center"/>
          </w:tcPr>
          <w:p>
            <w:pPr>
              <w:snapToGrid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val="en-US" w:eastAsia="zh-CN"/>
              </w:rPr>
              <w:t>0</w:t>
            </w: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具有良好的专业素养、科学精神、人文情怀；教态大方，举止得体，精神饱满，综合素质高；个人教学特色突出。</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271" w:type="dxa"/>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080" w:type="dxa"/>
            <w:vMerge w:val="continue"/>
            <w:tcBorders>
              <w:left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14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课堂教学能结合课程特色挖掘育人因素，课堂实施成效好，特色鲜明，具有较强的示范性。</w:t>
            </w:r>
          </w:p>
        </w:tc>
        <w:tc>
          <w:tcPr>
            <w:tcW w:w="1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85" w:type="dxa"/>
            <w:tcBorders>
              <w:top w:val="single" w:color="auto" w:sz="4" w:space="0"/>
              <w:left w:val="single" w:color="auto" w:sz="4" w:space="0"/>
              <w:bottom w:val="single" w:color="auto" w:sz="4" w:space="0"/>
              <w:right w:val="single" w:color="auto" w:sz="4" w:space="0"/>
            </w:tcBorders>
          </w:tcPr>
          <w:p>
            <w:pPr>
              <w:snapToGrid w:val="0"/>
              <w:jc w:val="center"/>
              <w:rPr>
                <w:rFonts w:ascii="仿宋_GB2312" w:hAnsi="仿宋_GB2312" w:eastAsia="仿宋_GB2312" w:cs="仿宋_GB2312"/>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599E"/>
    <w:rsid w:val="0008170F"/>
    <w:rsid w:val="00117F7E"/>
    <w:rsid w:val="004337E7"/>
    <w:rsid w:val="004458F0"/>
    <w:rsid w:val="004730AD"/>
    <w:rsid w:val="0051233A"/>
    <w:rsid w:val="00781D7E"/>
    <w:rsid w:val="007B599E"/>
    <w:rsid w:val="00876CF8"/>
    <w:rsid w:val="009B021D"/>
    <w:rsid w:val="009F464F"/>
    <w:rsid w:val="00AA4D9A"/>
    <w:rsid w:val="00B92FCA"/>
    <w:rsid w:val="00E374F0"/>
    <w:rsid w:val="00E67510"/>
    <w:rsid w:val="00F20000"/>
    <w:rsid w:val="00FF687D"/>
    <w:rsid w:val="0926613D"/>
    <w:rsid w:val="429D00F9"/>
    <w:rsid w:val="536078A0"/>
    <w:rsid w:val="5AFF0946"/>
    <w:rsid w:val="738D363A"/>
    <w:rsid w:val="75FA577E"/>
    <w:rsid w:val="77EC784E"/>
    <w:rsid w:val="7F22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417</Characters>
  <Lines>3</Lines>
  <Paragraphs>1</Paragraphs>
  <TotalTime>3</TotalTime>
  <ScaleCrop>false</ScaleCrop>
  <LinksUpToDate>false</LinksUpToDate>
  <CharactersWithSpaces>488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2018-10-24T01:32:00Z</dcterms:created>
  <dc:creator>李蓓春</dc:creator>
  <cp:lastModifiedBy>summer</cp:lastModifiedBy>
  <dcterms:modified xsi:type="dcterms:W3CDTF">2020-07-23T02:14:08Z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